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970E" w14:textId="5A7E088A" w:rsidR="00DE21B9" w:rsidRPr="00521C43" w:rsidRDefault="00DE21B9" w:rsidP="00295E8F">
      <w:pPr>
        <w:rPr>
          <w:rStyle w:val="Heading1Char"/>
          <w:rFonts w:eastAsia="Arial"/>
          <w:b/>
          <w:color w:val="004A7C"/>
          <w:spacing w:val="-10"/>
          <w:kern w:val="28"/>
          <w:sz w:val="32"/>
          <w:szCs w:val="56"/>
        </w:rPr>
      </w:pPr>
      <w:r>
        <w:rPr>
          <w:rStyle w:val="Heading1Char"/>
          <w:rFonts w:eastAsia="Arial"/>
          <w:b/>
          <w:color w:val="FF0000"/>
          <w:sz w:val="22"/>
          <w:szCs w:val="28"/>
        </w:rPr>
        <w:t>Não divulgado até a adoção da resolução sobre câncer pela 70ª Assembleia Mundial de Saúde – Atualização ao vivo do anúncio em www.uicc.org/CancerResolution</w:t>
      </w:r>
    </w:p>
    <w:p w14:paraId="0DE76FC9" w14:textId="02B833E3" w:rsidR="00DE3153" w:rsidRPr="00D9059F" w:rsidRDefault="00DE3153" w:rsidP="00D9059F">
      <w:pPr>
        <w:pStyle w:val="Title"/>
        <w:spacing w:before="120"/>
        <w:rPr>
          <w:rStyle w:val="Heading1Char"/>
          <w:b w:val="0"/>
          <w:color w:val="004A7C"/>
          <w:sz w:val="40"/>
          <w:szCs w:val="56"/>
        </w:rPr>
      </w:pPr>
      <w:r>
        <w:rPr>
          <w:rStyle w:val="Heading1Char"/>
          <w:color w:val="004A7C"/>
          <w:sz w:val="40"/>
          <w:szCs w:val="56"/>
        </w:rPr>
        <w:t>Divulgação modelo</w:t>
      </w:r>
    </w:p>
    <w:p w14:paraId="2912815D" w14:textId="5FB6D454" w:rsidR="00CA739A" w:rsidRPr="00E331AD" w:rsidRDefault="00931EBE" w:rsidP="00D9059F">
      <w:pPr>
        <w:pStyle w:val="Heading1"/>
      </w:pPr>
      <w:r>
        <w:t>Resolução sobre câncer da Assembleia Mundial de Saúde de 2017: do comprometimento global à ação nacional</w:t>
      </w:r>
    </w:p>
    <w:p w14:paraId="11584964" w14:textId="097826BE" w:rsidR="00450C39" w:rsidRDefault="00D9059F" w:rsidP="00CA739A">
      <w:r>
        <w:rPr>
          <w:b/>
          <w:highlight w:val="yellow"/>
        </w:rPr>
        <w:t>XX de maio de 2017</w:t>
      </w:r>
      <w:r>
        <w:rPr>
          <w:b/>
        </w:rPr>
        <w:t xml:space="preserve">, Genebra, Suíça – Hoje, </w:t>
      </w:r>
      <w:r w:rsidR="00E84BBC">
        <w:rPr>
          <w:b/>
        </w:rPr>
        <w:t xml:space="preserve">ao adotarem uma nova resolução sobre câncer, </w:t>
      </w:r>
      <w:r>
        <w:rPr>
          <w:b/>
        </w:rPr>
        <w:t>líderes de saúde de todo o mundo reafirmaram</w:t>
      </w:r>
      <w:r w:rsidR="00E84BBC">
        <w:rPr>
          <w:b/>
        </w:rPr>
        <w:t xml:space="preserve"> a importância d</w:t>
      </w:r>
      <w:r>
        <w:rPr>
          <w:b/>
        </w:rPr>
        <w:t>o controle do câncer como prioridade crítica para a saúde e o desenvolvimento na 70ª Assembleia Mundial de Saúde, em Genebra.</w:t>
      </w:r>
      <w:r>
        <w:t xml:space="preserve"> </w:t>
      </w:r>
    </w:p>
    <w:p w14:paraId="030448BD" w14:textId="7E6434F5" w:rsidR="005D0D3B" w:rsidRPr="00E331AD" w:rsidRDefault="0038387E" w:rsidP="005D0D3B">
      <w:r>
        <w:t>O atual Plano de Ação Global da ONU sobre doenças crônicas não transmissíveis (</w:t>
      </w:r>
      <w:proofErr w:type="spellStart"/>
      <w:r>
        <w:t>DCNTs</w:t>
      </w:r>
      <w:proofErr w:type="spellEnd"/>
      <w:r>
        <w:t>) e as metas ambiciosas dos Objetivos de Desenvolvimento Sustentável (ODS) das Nações Unidas para 2030, incluindo o ODS 3 (boa saúde e bem-estar</w:t>
      </w:r>
      <w:r w:rsidR="005D0D3B" w:rsidRPr="00E331AD">
        <w:rPr>
          <w:rStyle w:val="FootnoteReference"/>
        </w:rPr>
        <w:footnoteReference w:id="1"/>
      </w:r>
      <w:r>
        <w:t xml:space="preserve">), cria um </w:t>
      </w:r>
      <w:r w:rsidR="00E84BBC">
        <w:t xml:space="preserve">cenário de oportunidades </w:t>
      </w:r>
      <w:r>
        <w:t xml:space="preserve">para investir no combate ao câncer, uma das principais </w:t>
      </w:r>
      <w:proofErr w:type="spellStart"/>
      <w:r>
        <w:t>DCNTs</w:t>
      </w:r>
      <w:proofErr w:type="spellEnd"/>
      <w:r>
        <w:t>. Com uma em cada três pessoas diretamente afetada pelo câncer e 8,8 milhões de mortes anuais</w:t>
      </w:r>
      <w:r w:rsidR="00F91772">
        <w:rPr>
          <w:rStyle w:val="FootnoteReference"/>
        </w:rPr>
        <w:footnoteReference w:id="2"/>
      </w:r>
      <w:r>
        <w:t>, essa doença é uma das preocupações de saúde mais prementes do mundo.</w:t>
      </w:r>
    </w:p>
    <w:p w14:paraId="5667321B" w14:textId="0D4CC9D3" w:rsidR="00D82E3A" w:rsidRDefault="005D0D3B" w:rsidP="00D82E3A">
      <w:r>
        <w:t>Calcula-se que o câncer custa até US$ 1,16 trilhão por ano às economias mundiais</w:t>
      </w:r>
      <w:r w:rsidRPr="00E331AD">
        <w:rPr>
          <w:rStyle w:val="FootnoteReference"/>
        </w:rPr>
        <w:footnoteReference w:id="3"/>
      </w:r>
      <w:r>
        <w:t xml:space="preserve"> - número que deve crescer exponencialmente se não forem tomadas medidas para reduzir o crescimento espiral de casos e o impacto sobre os indivíduos e os orçamentos de saúde. </w:t>
      </w:r>
      <w:r w:rsidR="0079161A">
        <w:t>Esse impacto</w:t>
      </w:r>
      <w:r>
        <w:t xml:space="preserve"> é</w:t>
      </w:r>
      <w:r w:rsidR="0079161A">
        <w:t xml:space="preserve"> maior</w:t>
      </w:r>
      <w:r>
        <w:t xml:space="preserve"> sentido nos países de baixa e média renda (PBMR), nos quais são gastos apenas 5% dos recursos globais para prevenção e controle do câncer</w:t>
      </w:r>
      <w:r w:rsidR="00D82E3A">
        <w:rPr>
          <w:rStyle w:val="FootnoteReference"/>
        </w:rPr>
        <w:footnoteReference w:id="4"/>
      </w:r>
      <w:r>
        <w:t xml:space="preserve">. </w:t>
      </w:r>
      <w:r>
        <w:rPr>
          <w:highlight w:val="yellow"/>
        </w:rPr>
        <w:t>&lt;INSERIR/EDITAR PARA NÚMEROS DO SEU PAÍS&gt;</w:t>
      </w:r>
      <w:r>
        <w:t xml:space="preserve"> </w:t>
      </w:r>
    </w:p>
    <w:p w14:paraId="4FFA1F89" w14:textId="214EE7D6" w:rsidR="0029077A" w:rsidRDefault="006B5349" w:rsidP="00CA739A">
      <w:r>
        <w:t>A resolução</w:t>
      </w:r>
      <w:r w:rsidR="0079161A">
        <w:t xml:space="preserve"> de 2017 </w:t>
      </w:r>
      <w:r>
        <w:t xml:space="preserve"> sobre câncer é uma resposta direta a esse desafio, oferecendo aos países orientação para a mudança da promoção da saúde e redução dos fatores de risco, com ênfase especial nas políticas de controle do tabagismo estabelecidas na CQCT</w:t>
      </w:r>
      <w:r w:rsidR="00BF140E">
        <w:rPr>
          <w:rStyle w:val="FootnoteReference"/>
        </w:rPr>
        <w:footnoteReference w:id="5"/>
      </w:r>
      <w:r>
        <w:t xml:space="preserve"> e em vacinas anticâncer, mas também na necessidade de abordar a desigualdade do acesso à detecção precoce</w:t>
      </w:r>
      <w:r w:rsidR="00F42CC8">
        <w:t xml:space="preserve"> e</w:t>
      </w:r>
      <w:r>
        <w:t xml:space="preserve"> ao tratamento oportuno e adequado, incluindo alívio da dor e cuidados paliativos. A União Internacional para Controle do Câncer (UICC) aplaude a ênfase nos resultados baseados em evidências para todas as pessoas que vivem com câncer e a inclusão da população especial de crianças, adolescentes e adultos jovens com câncer. </w:t>
      </w:r>
    </w:p>
    <w:p w14:paraId="4998A090" w14:textId="6B20C798" w:rsidR="00C73530" w:rsidRDefault="005C4615" w:rsidP="00CA739A">
      <w:r>
        <w:t xml:space="preserve">Há uma nova ênfase na integração dos esforços </w:t>
      </w:r>
      <w:r w:rsidR="00165A6B">
        <w:t xml:space="preserve">no </w:t>
      </w:r>
      <w:r>
        <w:t xml:space="preserve">combate ao câncer em todos os planos nacionais de saúde e no apelo para a ampliação das atividades alinhadas com os ODS. Os quatro fatores principais que afetam a mortalidade por câncer até 2025 e que são apoiados pelas recomendações de custo-benefício atualizadas da OMS para </w:t>
      </w:r>
      <w:proofErr w:type="spellStart"/>
      <w:r>
        <w:t>DCNTs</w:t>
      </w:r>
      <w:proofErr w:type="spellEnd"/>
      <w:r>
        <w:t xml:space="preserve">, também aprovadas nesta Assembleia Mundial de Saúde, são: </w:t>
      </w:r>
    </w:p>
    <w:p w14:paraId="7F548D53" w14:textId="4E190576" w:rsidR="00C73530" w:rsidRDefault="00623B8A" w:rsidP="009C33CC">
      <w:pPr>
        <w:numPr>
          <w:ilvl w:val="0"/>
          <w:numId w:val="23"/>
        </w:numPr>
      </w:pPr>
      <w:r>
        <w:t>Programas de diagnóstico precoce para câncer de colo do útero, de mama, colorretal e oral</w:t>
      </w:r>
    </w:p>
    <w:p w14:paraId="69BEA143" w14:textId="30F35F54" w:rsidR="00C73530" w:rsidRDefault="00623B8A" w:rsidP="009C33CC">
      <w:pPr>
        <w:numPr>
          <w:ilvl w:val="0"/>
          <w:numId w:val="23"/>
        </w:numPr>
      </w:pPr>
      <w:r>
        <w:t>Desenvolvimento de parcerias, redes de referência e centros de excelência para melhorar a qualidade dos serviços de diagnóstico, tratamento e atendimento a pacientes com câncer e facilitar a cooperação multidisciplinar</w:t>
      </w:r>
    </w:p>
    <w:p w14:paraId="513D67C6" w14:textId="7E56366E" w:rsidR="00C73530" w:rsidRDefault="00623B8A" w:rsidP="009C33CC">
      <w:pPr>
        <w:numPr>
          <w:ilvl w:val="0"/>
          <w:numId w:val="23"/>
        </w:numPr>
      </w:pPr>
      <w:r>
        <w:t>Formação de profissionais de saúde em todos os níveis da atenção à saúde, e</w:t>
      </w:r>
    </w:p>
    <w:p w14:paraId="3BC2E801" w14:textId="09005DDF" w:rsidR="00450C39" w:rsidRPr="00246F64" w:rsidRDefault="00623B8A" w:rsidP="009C33CC">
      <w:pPr>
        <w:numPr>
          <w:ilvl w:val="0"/>
          <w:numId w:val="23"/>
        </w:numPr>
      </w:pPr>
      <w:r>
        <w:lastRenderedPageBreak/>
        <w:t xml:space="preserve">Fortalecimento dos cuidados paliativos e promoção do acompanhamento e da reabilitação dos sobreviventes de câncer. </w:t>
      </w:r>
    </w:p>
    <w:p w14:paraId="3F4B365F" w14:textId="53C5C558" w:rsidR="00931EBE" w:rsidRPr="00246F64" w:rsidRDefault="00450C39" w:rsidP="00CA739A">
      <w:r>
        <w:t xml:space="preserve">"As partes interessadas de todos os setores devem começar a trabalhar juntas para garantir que este último documento de comprometimento global se traduza em uma ação nacional impactante, particularmente em PBMR, nos quais a carga do câncer deve aumentar mais rapidamente", disse </w:t>
      </w:r>
      <w:proofErr w:type="spellStart"/>
      <w:r>
        <w:t>Sanchia</w:t>
      </w:r>
      <w:proofErr w:type="spellEnd"/>
      <w:r>
        <w:t xml:space="preserve"> </w:t>
      </w:r>
      <w:proofErr w:type="spellStart"/>
      <w:r>
        <w:t>Aranda</w:t>
      </w:r>
      <w:proofErr w:type="spellEnd"/>
      <w:r>
        <w:t xml:space="preserve">, Presidente da União Internacional para Controle do Câncer (UICC). </w:t>
      </w:r>
    </w:p>
    <w:p w14:paraId="4371A358" w14:textId="7ED10C3B" w:rsidR="00AE7267" w:rsidRDefault="00037E24" w:rsidP="00CA739A">
      <w:r>
        <w:t>Esta é a primeira vez que um item específico da agenda do câncer é discutido na Assembleia Mundi</w:t>
      </w:r>
      <w:r w:rsidR="00587622">
        <w:t>al de Saúde desde 2005, com os E</w:t>
      </w:r>
      <w:r>
        <w:t xml:space="preserve">stados membros de todas as regiões dando seu apoio ao processo de elaboração de uma resolução abrangente, aderindo às discussões iniciais na reunião do conselho executivo da OMS, em janeiro, e </w:t>
      </w:r>
      <w:r w:rsidR="00A6538B">
        <w:t>introduzindo e apoiando a</w:t>
      </w:r>
      <w:r>
        <w:t xml:space="preserve"> resolução final. </w:t>
      </w:r>
    </w:p>
    <w:p w14:paraId="79942FB9" w14:textId="20BC8905" w:rsidR="00FB44EE" w:rsidRDefault="00CC0F4B" w:rsidP="00FB44EE">
      <w:r>
        <w:t xml:space="preserve">Esta resolução é o resultado de uma chamada à ação feita após o evento paralelo da 69º Assembleia Mundial de Saúde do ano passado, que foi </w:t>
      </w:r>
      <w:proofErr w:type="spellStart"/>
      <w:r>
        <w:t>co</w:t>
      </w:r>
      <w:proofErr w:type="spellEnd"/>
      <w:r>
        <w:t>-o</w:t>
      </w:r>
      <w:r w:rsidR="00587622">
        <w:t>rganizado pela UICC com vários E</w:t>
      </w:r>
      <w:r>
        <w:t>stados membros sobre</w:t>
      </w:r>
      <w:r w:rsidR="00936AAC">
        <w:rPr>
          <w:rStyle w:val="FootnoteReference"/>
        </w:rPr>
        <w:footnoteReference w:id="6"/>
      </w:r>
      <w:r>
        <w:t xml:space="preserve"> "Fazer os investimentos certos para o controle do câncer”, incluindo  Jordânia,  Malásia, Zâmbia, Honduras, Kuwait e Espanha. Esse apelo enfatizou a importância de uma resposta clara dos sistemas de saúde ao câncer, com ênfase em uma estrutura para o reforço do diagnóstico, tratamento e atendimento, em particular, do acesso e da disponibilidade de cirurgias, radioterapia e </w:t>
      </w:r>
      <w:proofErr w:type="spellStart"/>
      <w:r>
        <w:t>opióides</w:t>
      </w:r>
      <w:proofErr w:type="spellEnd"/>
      <w:r>
        <w:t xml:space="preserve"> para o manejo da dor, assim como a abordagem dos custos elevados dos medicamentos para o câncer.</w:t>
      </w:r>
    </w:p>
    <w:p w14:paraId="44F7B45B" w14:textId="0E837585" w:rsidR="009E32C1" w:rsidRPr="00246F64" w:rsidRDefault="009E32C1" w:rsidP="00FB44EE">
      <w:r>
        <w:t>"A adoção bem-sucedida de uma resolução abrangente sobre câncer, um ano após a</w:t>
      </w:r>
      <w:r w:rsidR="00587622">
        <w:t xml:space="preserve"> chamada à ação, mostra que os E</w:t>
      </w:r>
      <w:r>
        <w:t>stados membros reconhecem o custo crítico da falta de ação e est</w:t>
      </w:r>
      <w:r w:rsidR="00686152">
        <w:t>ão prontos para agir", disse a P</w:t>
      </w:r>
      <w:r>
        <w:t xml:space="preserve">rincesa Dina </w:t>
      </w:r>
      <w:proofErr w:type="spellStart"/>
      <w:r>
        <w:t>Mire</w:t>
      </w:r>
      <w:r w:rsidR="00752B14">
        <w:t>d</w:t>
      </w:r>
      <w:proofErr w:type="spellEnd"/>
      <w:r>
        <w:t>, presidente eleita da UICC</w:t>
      </w:r>
      <w:r w:rsidRPr="00686152">
        <w:t xml:space="preserve">. </w:t>
      </w:r>
      <w:r w:rsidR="00752B14">
        <w:rPr>
          <w:highlight w:val="yellow"/>
        </w:rPr>
        <w:t>&lt;SUBSTITUA POR/ADICIONE UMA CITAÇÃO DA SUA ORGANIZAÇÃO&gt;</w:t>
      </w:r>
      <w:r w:rsidR="00752B14">
        <w:t xml:space="preserve"> </w:t>
      </w:r>
    </w:p>
    <w:p w14:paraId="6DCEF37A" w14:textId="0B3E9A86" w:rsidR="00601D3F" w:rsidRDefault="00634267" w:rsidP="000E47A4">
      <w:pPr>
        <w:rPr>
          <w:color w:val="000000"/>
        </w:rPr>
      </w:pPr>
      <w:r>
        <w:rPr>
          <w:color w:val="000000"/>
        </w:rPr>
        <w:t>Com os comprometimentos globais acordados</w:t>
      </w:r>
      <w:r w:rsidR="00587622">
        <w:rPr>
          <w:color w:val="000000"/>
        </w:rPr>
        <w:t>, é de suma importância que os E</w:t>
      </w:r>
      <w:r>
        <w:rPr>
          <w:color w:val="000000"/>
        </w:rPr>
        <w:t xml:space="preserve">stados membros e a sociedade civil possuam dados que permitam orientar as ações de forma mais eficaz, além dos planos e financiamentos para seguir com uma ação nacional </w:t>
      </w:r>
      <w:r w:rsidR="000E47A4">
        <w:rPr>
          <w:color w:val="000000"/>
        </w:rPr>
        <w:t xml:space="preserve">que leve a </w:t>
      </w:r>
      <w:r>
        <w:rPr>
          <w:color w:val="000000"/>
        </w:rPr>
        <w:t xml:space="preserve">uma redução de 25% nas </w:t>
      </w:r>
      <w:proofErr w:type="spellStart"/>
      <w:r>
        <w:rPr>
          <w:color w:val="000000"/>
        </w:rPr>
        <w:t>DCNTs</w:t>
      </w:r>
      <w:proofErr w:type="spellEnd"/>
      <w:r>
        <w:rPr>
          <w:color w:val="000000"/>
        </w:rPr>
        <w:t xml:space="preserve"> até 2025</w:t>
      </w:r>
      <w:r w:rsidR="00601D3F">
        <w:rPr>
          <w:rStyle w:val="FootnoteReference"/>
          <w:color w:val="000000"/>
        </w:rPr>
        <w:footnoteReference w:id="7"/>
      </w:r>
      <w:r>
        <w:rPr>
          <w:color w:val="000000"/>
        </w:rPr>
        <w:t xml:space="preserve">. </w:t>
      </w:r>
    </w:p>
    <w:p w14:paraId="7BA7C08A" w14:textId="567E9F06" w:rsidR="00A133F7" w:rsidRPr="00A133F7" w:rsidRDefault="00A133F7" w:rsidP="000E47A4">
      <w:pPr>
        <w:rPr>
          <w:color w:val="000000"/>
        </w:rPr>
      </w:pPr>
      <w:r w:rsidRPr="00A133F7">
        <w:rPr>
          <w:color w:val="000000"/>
        </w:rPr>
        <w:t xml:space="preserve">A nomeação, na semana passada, do Dr. </w:t>
      </w:r>
      <w:proofErr w:type="spellStart"/>
      <w:r w:rsidRPr="00A133F7">
        <w:rPr>
          <w:color w:val="000000"/>
        </w:rPr>
        <w:t>Tedros</w:t>
      </w:r>
      <w:proofErr w:type="spellEnd"/>
      <w:r w:rsidRPr="00A133F7">
        <w:rPr>
          <w:color w:val="000000"/>
        </w:rPr>
        <w:t xml:space="preserve"> </w:t>
      </w:r>
      <w:proofErr w:type="spellStart"/>
      <w:r w:rsidRPr="00A133F7">
        <w:rPr>
          <w:color w:val="000000"/>
        </w:rPr>
        <w:t>Adhanom</w:t>
      </w:r>
      <w:proofErr w:type="spellEnd"/>
      <w:r w:rsidRPr="00A133F7">
        <w:rPr>
          <w:color w:val="000000"/>
        </w:rPr>
        <w:t xml:space="preserve"> </w:t>
      </w:r>
      <w:proofErr w:type="spellStart"/>
      <w:r w:rsidRPr="00A133F7">
        <w:rPr>
          <w:color w:val="000000"/>
        </w:rPr>
        <w:t>Ghebreyesus</w:t>
      </w:r>
      <w:proofErr w:type="spellEnd"/>
      <w:r w:rsidRPr="00A133F7">
        <w:rPr>
          <w:color w:val="000000"/>
        </w:rPr>
        <w:t xml:space="preserve"> como o novo Diretor-Geral da OMS oferece uma oportunidade única para fortalecer o papel da organização como líder no enfrentamento às DCNT - um compromisso assumido durante o discurso eleitoral, que a UICC espera que seja implementado.</w:t>
      </w:r>
      <w:bookmarkStart w:id="0" w:name="_GoBack"/>
      <w:bookmarkEnd w:id="0"/>
    </w:p>
    <w:p w14:paraId="375F8928" w14:textId="554089C5" w:rsidR="003B0394" w:rsidRDefault="00EB2AA6" w:rsidP="00AF17CB">
      <w:r>
        <w:t xml:space="preserve"> "</w:t>
      </w:r>
      <w:r w:rsidR="00C006DD">
        <w:t>Esta</w:t>
      </w:r>
      <w:r>
        <w:t xml:space="preserve"> resolução sobre câncer de 2017 terá impacto até 2025. A UICC irá juntar-se à comunidade que combate as </w:t>
      </w:r>
      <w:proofErr w:type="spellStart"/>
      <w:r>
        <w:t>DCNTs</w:t>
      </w:r>
      <w:proofErr w:type="spellEnd"/>
      <w:r>
        <w:t xml:space="preserve"> no período que antecede a reunião de alto nível das Nações Unidas sobre as </w:t>
      </w:r>
      <w:proofErr w:type="spellStart"/>
      <w:r>
        <w:t>DCNTs</w:t>
      </w:r>
      <w:proofErr w:type="spellEnd"/>
      <w:r>
        <w:t>, que é a primeira oportunidade formal desde 2014</w:t>
      </w:r>
      <w:r w:rsidR="00C006DD">
        <w:t>,</w:t>
      </w:r>
      <w:r>
        <w:t xml:space="preserve"> para verificar as metas do câncer e das </w:t>
      </w:r>
      <w:proofErr w:type="spellStart"/>
      <w:r>
        <w:t>DCNTs</w:t>
      </w:r>
      <w:proofErr w:type="spellEnd"/>
      <w:r>
        <w:t>, e para enfatizar a urgência das ações propostas na resolução ", declar</w:t>
      </w:r>
      <w:r w:rsidR="00C006DD">
        <w:t>a</w:t>
      </w:r>
      <w:r>
        <w:t xml:space="preserve"> </w:t>
      </w:r>
      <w:proofErr w:type="spellStart"/>
      <w:r>
        <w:t>Cary</w:t>
      </w:r>
      <w:proofErr w:type="spellEnd"/>
      <w:r>
        <w:t xml:space="preserve"> Adams, CEO da UICC. </w:t>
      </w:r>
    </w:p>
    <w:p w14:paraId="671D847E" w14:textId="77777777" w:rsidR="00CA739A" w:rsidRPr="00AF17CB" w:rsidRDefault="00CA739A" w:rsidP="00AF17CB">
      <w:pPr>
        <w:pStyle w:val="Heading1"/>
      </w:pPr>
      <w:r>
        <w:t>Notas ao editor</w:t>
      </w:r>
    </w:p>
    <w:p w14:paraId="7270C21E" w14:textId="77777777" w:rsidR="00CA739A" w:rsidRPr="00E331AD" w:rsidRDefault="00CA739A" w:rsidP="00CA739A">
      <w:pPr>
        <w:pStyle w:val="Heading2"/>
      </w:pPr>
      <w:r>
        <w:t>Sobre a UICC</w:t>
      </w:r>
    </w:p>
    <w:p w14:paraId="6AD3EBC3" w14:textId="77777777" w:rsidR="00CA739A" w:rsidRPr="00E331AD" w:rsidRDefault="00CA739A" w:rsidP="00CA739A">
      <w:r>
        <w:t xml:space="preserve">A União Internacional para Controle do Câncer (UICC) é a maior organização internacional contra o câncer do mundo. Tem mais de 1.000 membros organizacionais em 162 países. </w:t>
      </w:r>
    </w:p>
    <w:p w14:paraId="5F088336" w14:textId="27F240BB" w:rsidR="00CA739A" w:rsidRPr="00E331AD" w:rsidRDefault="00CA739A" w:rsidP="00CA739A">
      <w:r>
        <w:t xml:space="preserve">A UICC dedica-se a convocar, gerar recursos e defender iniciativas que unam a comunidade afetada pelo câncer para reduzir a carga global da doença, promover maior igualdade e integrar o controle do câncer na agenda mundial da saúde e do desenvolvimento. </w:t>
      </w:r>
    </w:p>
    <w:p w14:paraId="649E93B2" w14:textId="13AA1609" w:rsidR="00CA739A" w:rsidRPr="00E331AD" w:rsidRDefault="00CA739A" w:rsidP="00CA739A">
      <w:r>
        <w:t xml:space="preserve">Através do status da UICC no Conselho Econômico e Social da ONU (ECOSOC), </w:t>
      </w:r>
      <w:r w:rsidR="000569A5">
        <w:t>a organização</w:t>
      </w:r>
      <w:r>
        <w:t xml:space="preserve"> mantém relações formais com muitas agências da ONU, incluindo a Organização Mundial da Saúde (OMS), a Agência Internacional de Pesquisa em Câncer (AIPC), a Agência Internacional de Energia Atômica (AIEA), entre outras. </w:t>
      </w:r>
    </w:p>
    <w:p w14:paraId="3294EEC7" w14:textId="7F1C1169" w:rsidR="00CA739A" w:rsidRPr="00E331AD" w:rsidRDefault="00CA739A" w:rsidP="00CA739A">
      <w:r>
        <w:t>A UICC tem parceiros em todos os setores, tendo acesso a especialistas mundiais em praticamente todos os domínios do controle do câncer. Durante muitos anos</w:t>
      </w:r>
      <w:r w:rsidR="000F1A0D">
        <w:t>,</w:t>
      </w:r>
      <w:r>
        <w:t xml:space="preserve"> a UICC ganhou a reputação de ser uma voz </w:t>
      </w:r>
      <w:r>
        <w:lastRenderedPageBreak/>
        <w:t>independente e objetiva para o controle do câncer, disposta a reunir organizações comprometidas  a realizar mudanças globais através da implementação e da ampliação de programas de qualidade e sustentabilidade que abordem a carga mundial de câncer e de outras doenças crônicas não transmissíveis (</w:t>
      </w:r>
      <w:proofErr w:type="spellStart"/>
      <w:r>
        <w:t>DCNTs</w:t>
      </w:r>
      <w:proofErr w:type="spellEnd"/>
      <w:r>
        <w:t>).</w:t>
      </w:r>
    </w:p>
    <w:p w14:paraId="16991D57" w14:textId="77777777" w:rsidR="00CA739A" w:rsidRPr="00E331AD" w:rsidRDefault="00CA739A" w:rsidP="00CA739A">
      <w:r>
        <w:t xml:space="preserve">A UICC é membro fundador da Aliança contra </w:t>
      </w:r>
      <w:proofErr w:type="spellStart"/>
      <w:r>
        <w:t>DCNTs</w:t>
      </w:r>
      <w:proofErr w:type="spellEnd"/>
      <w:r>
        <w:t xml:space="preserve">, uma rede mundial da sociedade civil que representa, atualmente, quase 2.000 organizações em 170 países. </w:t>
      </w:r>
    </w:p>
    <w:p w14:paraId="6D1B412E" w14:textId="77777777" w:rsidR="00B327D2" w:rsidRDefault="00CA739A" w:rsidP="00CA739A">
      <w:r>
        <w:t xml:space="preserve">Para obter mais informações, visite www.uicc.org Siga </w:t>
      </w:r>
      <w:hyperlink r:id="rId9" w:history="1">
        <w:r>
          <w:rPr>
            <w:rStyle w:val="Hyperlink"/>
          </w:rPr>
          <w:t>@UICC</w:t>
        </w:r>
      </w:hyperlink>
      <w:r>
        <w:t xml:space="preserve"> #</w:t>
      </w:r>
      <w:proofErr w:type="spellStart"/>
      <w:r>
        <w:t>CancerResolution</w:t>
      </w:r>
      <w:proofErr w:type="spellEnd"/>
      <w:r>
        <w:t xml:space="preserve"> no </w:t>
      </w:r>
      <w:proofErr w:type="spellStart"/>
      <w:r>
        <w:t>Twitter</w:t>
      </w:r>
      <w:proofErr w:type="spellEnd"/>
    </w:p>
    <w:p w14:paraId="2C48EF7B" w14:textId="77777777" w:rsidR="00B327D2" w:rsidRDefault="00B327D2" w:rsidP="00B327D2">
      <w:pPr>
        <w:pStyle w:val="Heading3"/>
      </w:pPr>
      <w:r>
        <w:t>Contato</w:t>
      </w:r>
    </w:p>
    <w:p w14:paraId="50C76949" w14:textId="05180293" w:rsidR="00CA739A" w:rsidRPr="00B327D2" w:rsidRDefault="000025FC" w:rsidP="00CA739A">
      <w:r>
        <w:t>Equipe de Defesa da UICC</w:t>
      </w:r>
      <w:r>
        <w:br/>
      </w:r>
      <w:hyperlink r:id="rId10" w:history="1">
        <w:r>
          <w:rPr>
            <w:rStyle w:val="Hyperlink"/>
          </w:rPr>
          <w:t>advocacy@uicc.org</w:t>
        </w:r>
      </w:hyperlink>
    </w:p>
    <w:p w14:paraId="78FE566D" w14:textId="77777777" w:rsidR="00752B14" w:rsidRPr="00B327D2" w:rsidRDefault="00752B14" w:rsidP="00752B14">
      <w:pPr>
        <w:pStyle w:val="Heading2"/>
        <w:rPr>
          <w:highlight w:val="yellow"/>
        </w:rPr>
      </w:pPr>
      <w:r>
        <w:t xml:space="preserve">Sobre a </w:t>
      </w:r>
      <w:r>
        <w:rPr>
          <w:highlight w:val="yellow"/>
        </w:rPr>
        <w:t>XXXX</w:t>
      </w:r>
    </w:p>
    <w:p w14:paraId="504684AA" w14:textId="77777777" w:rsidR="00752B14" w:rsidRDefault="00752B14" w:rsidP="00752B14">
      <w:r>
        <w:rPr>
          <w:highlight w:val="yellow"/>
        </w:rPr>
        <w:t>&lt;INSIRA TEXTO PADRONIZADO SOBRE SUA ORGANIZAÇÃO&gt;</w:t>
      </w:r>
    </w:p>
    <w:p w14:paraId="3C5C4B58" w14:textId="77777777" w:rsidR="00752B14" w:rsidRDefault="00752B14" w:rsidP="00752B14">
      <w:pPr>
        <w:pStyle w:val="Heading3"/>
      </w:pPr>
      <w:r>
        <w:t>Contato</w:t>
      </w:r>
    </w:p>
    <w:p w14:paraId="45E26D91" w14:textId="4D0C6789" w:rsidR="009E3F80" w:rsidRPr="00B327D2" w:rsidRDefault="00752B14" w:rsidP="00752B14">
      <w:r>
        <w:rPr>
          <w:highlight w:val="yellow"/>
        </w:rPr>
        <w:t>&lt;INSIRA INFORMAÇÕES DE CONTATO DA ORGANIZAÇÃO&gt;</w:t>
      </w:r>
    </w:p>
    <w:sectPr w:rsidR="009E3F80" w:rsidRPr="00B327D2" w:rsidSect="0005438A">
      <w:footerReference w:type="default" r:id="rId11"/>
      <w:headerReference w:type="first" r:id="rId12"/>
      <w:footerReference w:type="first" r:id="rId13"/>
      <w:pgSz w:w="11906" w:h="16838" w:code="9"/>
      <w:pgMar w:top="1361" w:right="1134" w:bottom="1814" w:left="1134" w:header="709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F155" w14:textId="77777777" w:rsidR="00DF3CFC" w:rsidRDefault="00DF3CFC" w:rsidP="003C2A87">
      <w:r>
        <w:separator/>
      </w:r>
    </w:p>
  </w:endnote>
  <w:endnote w:type="continuationSeparator" w:id="0">
    <w:p w14:paraId="64B46744" w14:textId="77777777" w:rsidR="00DF3CFC" w:rsidRDefault="00DF3CFC" w:rsidP="003C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65EB" w14:textId="225CB53B" w:rsidR="00F11A8F" w:rsidRDefault="00AF62D0" w:rsidP="000543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3F7">
      <w:rPr>
        <w:noProof/>
      </w:rPr>
      <w:t>2</w:t>
    </w:r>
    <w:r>
      <w:fldChar w:fldCharType="end"/>
    </w:r>
    <w:r w:rsidR="00152A88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6CF1CE5" wp14:editId="32095867">
              <wp:simplePos x="0" y="0"/>
              <wp:positionH relativeFrom="column">
                <wp:align>center</wp:align>
              </wp:positionH>
              <wp:positionV relativeFrom="page">
                <wp:posOffset>9692005</wp:posOffset>
              </wp:positionV>
              <wp:extent cx="6120130" cy="0"/>
              <wp:effectExtent l="50800" t="52705" r="64770" b="61595"/>
              <wp:wrapNone/>
              <wp:docPr id="2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8E8E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035698D" id="Straight Connector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63.15pt" to="481.9pt,76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" strokecolor="#e8e8e8" strokeweight="1pt">
              <v:stroke joinstyle="miter"/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E336" w14:textId="3E45BBA5" w:rsidR="00F11A8F" w:rsidRDefault="00AF62D0" w:rsidP="005B41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3F7">
      <w:rPr>
        <w:noProof/>
      </w:rPr>
      <w:t>1</w:t>
    </w:r>
    <w:r>
      <w:fldChar w:fldCharType="end"/>
    </w:r>
    <w:r w:rsidR="00152A88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036A51C" wp14:editId="68E23468">
              <wp:simplePos x="0" y="0"/>
              <wp:positionH relativeFrom="column">
                <wp:align>center</wp:align>
              </wp:positionH>
              <wp:positionV relativeFrom="page">
                <wp:posOffset>9692005</wp:posOffset>
              </wp:positionV>
              <wp:extent cx="6120130" cy="0"/>
              <wp:effectExtent l="50800" t="52705" r="64770" b="61595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8E8E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CEC493D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63.15pt" to="481.9pt,76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" strokecolor="#e8e8e8" strokeweight="1pt">
              <v:stroke joinstyle="miter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636B9" w14:textId="77777777" w:rsidR="00DF3CFC" w:rsidRDefault="00DF3CFC" w:rsidP="003C2A87">
      <w:r>
        <w:separator/>
      </w:r>
    </w:p>
  </w:footnote>
  <w:footnote w:type="continuationSeparator" w:id="0">
    <w:p w14:paraId="01F197B1" w14:textId="77777777" w:rsidR="00DF3CFC" w:rsidRDefault="00DF3CFC" w:rsidP="003C2A87">
      <w:r>
        <w:continuationSeparator/>
      </w:r>
    </w:p>
  </w:footnote>
  <w:footnote w:id="1">
    <w:p w14:paraId="5B690B9F" w14:textId="77777777" w:rsidR="005D0D3B" w:rsidRPr="009C33CC" w:rsidRDefault="005D0D3B" w:rsidP="005D0D3B">
      <w:pPr>
        <w:spacing w:after="0"/>
        <w:rPr>
          <w:sz w:val="12"/>
          <w:szCs w:val="12"/>
        </w:rPr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ODS 3 Boa saúde e bem-estar - Assegurar uma vida saudável e promover o bem-estar para todas as pessoas em todas as idades (especificamente, meta 4 do objetivo 3 (3.4), que afirma: Até 2030, reduzir em um terço a mortalidade prematura por doenças crônicas não transmissíveis através da prevenção e do tratamento e promover a saúde mental e o bem-estar) </w:t>
      </w:r>
    </w:p>
  </w:footnote>
  <w:footnote w:id="2">
    <w:p w14:paraId="67EFB48B" w14:textId="77777777" w:rsidR="00F91772" w:rsidRPr="009C33CC" w:rsidRDefault="00F91772">
      <w:pPr>
        <w:pStyle w:val="FootnoteText"/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http://www.who.int/cancer/en/</w:t>
      </w:r>
    </w:p>
  </w:footnote>
  <w:footnote w:id="3">
    <w:p w14:paraId="71EE13E8" w14:textId="77777777" w:rsidR="005D0D3B" w:rsidRPr="009C33CC" w:rsidRDefault="005D0D3B" w:rsidP="005D0D3B">
      <w:pPr>
        <w:pStyle w:val="FootnoteText"/>
        <w:rPr>
          <w:sz w:val="12"/>
          <w:szCs w:val="12"/>
        </w:rPr>
      </w:pPr>
      <w:r>
        <w:rPr>
          <w:rStyle w:val="FootnoteReference"/>
          <w:sz w:val="12"/>
          <w:szCs w:val="12"/>
        </w:rPr>
        <w:footnoteRef/>
      </w:r>
      <w:r>
        <w:rPr>
          <w:rStyle w:val="FootnoteReference"/>
          <w:sz w:val="12"/>
          <w:szCs w:val="12"/>
        </w:rPr>
        <w:t xml:space="preserve"> </w:t>
      </w:r>
      <w:r>
        <w:rPr>
          <w:sz w:val="12"/>
          <w:szCs w:val="12"/>
        </w:rPr>
        <w:t>http://www.who.int/gho/publications/mdgs-sdgs/MDGs-SDGs2015_chapter6_snapshot_cancer.pdf?ua=1</w:t>
      </w:r>
    </w:p>
  </w:footnote>
  <w:footnote w:id="4">
    <w:p w14:paraId="557E9C32" w14:textId="77777777" w:rsidR="00D82E3A" w:rsidRDefault="00D82E3A" w:rsidP="00D82E3A">
      <w:pPr>
        <w:pStyle w:val="FootnoteText"/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http://apps.who.int/gb/ebwha/pdf_files/WHA70/A70_32-en.pdf</w:t>
      </w:r>
    </w:p>
  </w:footnote>
  <w:footnote w:id="5">
    <w:p w14:paraId="3726D3F0" w14:textId="2D740212" w:rsidR="00BF140E" w:rsidRPr="00BF140E" w:rsidRDefault="00BF140E">
      <w:pPr>
        <w:pStyle w:val="FootnoteText"/>
        <w:rPr>
          <w:sz w:val="12"/>
          <w:szCs w:val="12"/>
        </w:rPr>
      </w:pPr>
      <w:r>
        <w:rPr>
          <w:sz w:val="12"/>
          <w:szCs w:val="12"/>
          <w:vertAlign w:val="superscript"/>
        </w:rPr>
        <w:footnoteRef/>
      </w:r>
      <w:r>
        <w:rPr>
          <w:sz w:val="12"/>
          <w:szCs w:val="12"/>
        </w:rPr>
        <w:t xml:space="preserve"> Convenção-Quadro para o Controle do Tabaco da OMS http://www.who.int/fctc/en/ </w:t>
      </w:r>
    </w:p>
  </w:footnote>
  <w:footnote w:id="6">
    <w:p w14:paraId="4BF52DAA" w14:textId="77777777" w:rsidR="00936AAC" w:rsidRPr="009C33CC" w:rsidRDefault="00936AAC" w:rsidP="00C46812">
      <w:pPr>
        <w:pStyle w:val="FootnoteText"/>
        <w:rPr>
          <w:sz w:val="12"/>
          <w:szCs w:val="12"/>
        </w:rPr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http://www.uicc.org/are-we-making-right-investments-cancer-control-global-dialogue</w:t>
      </w:r>
    </w:p>
  </w:footnote>
  <w:footnote w:id="7">
    <w:p w14:paraId="6C49F5B2" w14:textId="64FD5C9F" w:rsidR="006344C4" w:rsidRPr="00601D3F" w:rsidRDefault="00601D3F">
      <w:pPr>
        <w:pStyle w:val="FootnoteText"/>
        <w:rPr>
          <w:sz w:val="16"/>
          <w:szCs w:val="16"/>
        </w:rPr>
      </w:pPr>
      <w:r>
        <w:rPr>
          <w:rStyle w:val="FootnoteReference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hyperlink r:id="rId1" w:history="1">
        <w:r>
          <w:rPr>
            <w:rStyle w:val="Hyperlink"/>
            <w:sz w:val="12"/>
            <w:szCs w:val="12"/>
          </w:rPr>
          <w:t>http://apps.who.int/iris/bitstream/10665/94384/1/9789241506236_eng.pdf?ua=1</w:t>
        </w:r>
      </w:hyperlink>
      <w:r>
        <w:rPr>
          <w:sz w:val="12"/>
          <w:szCs w:val="12"/>
        </w:rPr>
        <w:t xml:space="preserve"> CQCT Convenção-Quadro para o Controle do Tabaco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857D" w14:textId="77777777" w:rsidR="00F11A8F" w:rsidRDefault="006344C4">
    <w:pPr>
      <w:pStyle w:val="Header"/>
    </w:pPr>
    <w:r>
      <w:rPr>
        <w:noProof/>
        <w:lang w:val="en-US"/>
      </w:rPr>
      <w:drawing>
        <wp:anchor distT="0" distB="360045" distL="114300" distR="114300" simplePos="0" relativeHeight="251656704" behindDoc="0" locked="1" layoutInCell="1" allowOverlap="1" wp14:anchorId="72944A24" wp14:editId="3DED35D3">
          <wp:simplePos x="0" y="0"/>
          <wp:positionH relativeFrom="column">
            <wp:align>left</wp:align>
          </wp:positionH>
          <wp:positionV relativeFrom="page">
            <wp:posOffset>845820</wp:posOffset>
          </wp:positionV>
          <wp:extent cx="1335405" cy="896620"/>
          <wp:effectExtent l="19050" t="0" r="0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701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16F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AA9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B46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8A0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40E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4C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425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40B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620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F6B"/>
    <w:multiLevelType w:val="hybridMultilevel"/>
    <w:tmpl w:val="07D256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6154ECD"/>
    <w:multiLevelType w:val="hybridMultilevel"/>
    <w:tmpl w:val="F5461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D7506"/>
    <w:multiLevelType w:val="hybridMultilevel"/>
    <w:tmpl w:val="0A68A518"/>
    <w:lvl w:ilvl="0" w:tplc="5616E4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1EBB"/>
    <w:multiLevelType w:val="hybridMultilevel"/>
    <w:tmpl w:val="542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20052"/>
    <w:multiLevelType w:val="hybridMultilevel"/>
    <w:tmpl w:val="FF2E33EC"/>
    <w:lvl w:ilvl="0" w:tplc="19B24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52A1B"/>
    <w:multiLevelType w:val="hybridMultilevel"/>
    <w:tmpl w:val="0D62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90A8A"/>
    <w:multiLevelType w:val="hybridMultilevel"/>
    <w:tmpl w:val="25B857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76E46C6"/>
    <w:multiLevelType w:val="hybridMultilevel"/>
    <w:tmpl w:val="D74A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01246"/>
    <w:multiLevelType w:val="hybridMultilevel"/>
    <w:tmpl w:val="71CE7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450B5"/>
    <w:multiLevelType w:val="hybridMultilevel"/>
    <w:tmpl w:val="01DC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F2B13"/>
    <w:multiLevelType w:val="hybridMultilevel"/>
    <w:tmpl w:val="344C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355AC"/>
    <w:multiLevelType w:val="hybridMultilevel"/>
    <w:tmpl w:val="BA3C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9"/>
  </w:num>
  <w:num w:numId="17">
    <w:abstractNumId w:val="13"/>
  </w:num>
  <w:num w:numId="18">
    <w:abstractNumId w:val="11"/>
  </w:num>
  <w:num w:numId="19">
    <w:abstractNumId w:val="12"/>
  </w:num>
  <w:num w:numId="20">
    <w:abstractNumId w:val="16"/>
  </w:num>
  <w:num w:numId="21">
    <w:abstractNumId w:val="1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A"/>
    <w:rsid w:val="000016CF"/>
    <w:rsid w:val="000025FC"/>
    <w:rsid w:val="00026930"/>
    <w:rsid w:val="00037E24"/>
    <w:rsid w:val="0005438A"/>
    <w:rsid w:val="000569A5"/>
    <w:rsid w:val="00082C6B"/>
    <w:rsid w:val="000A04D5"/>
    <w:rsid w:val="000A1597"/>
    <w:rsid w:val="000B688B"/>
    <w:rsid w:val="000E47A4"/>
    <w:rsid w:val="000F1A0D"/>
    <w:rsid w:val="001161AB"/>
    <w:rsid w:val="00126E8F"/>
    <w:rsid w:val="00146187"/>
    <w:rsid w:val="00152619"/>
    <w:rsid w:val="00152A88"/>
    <w:rsid w:val="00153631"/>
    <w:rsid w:val="0016346D"/>
    <w:rsid w:val="0016419D"/>
    <w:rsid w:val="00165A6B"/>
    <w:rsid w:val="001705F2"/>
    <w:rsid w:val="00184277"/>
    <w:rsid w:val="0018443F"/>
    <w:rsid w:val="00196449"/>
    <w:rsid w:val="001A45B6"/>
    <w:rsid w:val="001F4B53"/>
    <w:rsid w:val="00207E34"/>
    <w:rsid w:val="00212773"/>
    <w:rsid w:val="00215A28"/>
    <w:rsid w:val="0024315D"/>
    <w:rsid w:val="00246F64"/>
    <w:rsid w:val="00253E66"/>
    <w:rsid w:val="00254919"/>
    <w:rsid w:val="0026093B"/>
    <w:rsid w:val="0026614F"/>
    <w:rsid w:val="00284F70"/>
    <w:rsid w:val="0029077A"/>
    <w:rsid w:val="00295E8F"/>
    <w:rsid w:val="002A07BA"/>
    <w:rsid w:val="002A69EF"/>
    <w:rsid w:val="002B027F"/>
    <w:rsid w:val="002B59A1"/>
    <w:rsid w:val="002F1643"/>
    <w:rsid w:val="00315B4D"/>
    <w:rsid w:val="003464CE"/>
    <w:rsid w:val="00354D1D"/>
    <w:rsid w:val="00362CBB"/>
    <w:rsid w:val="00371FF9"/>
    <w:rsid w:val="00376082"/>
    <w:rsid w:val="003762C4"/>
    <w:rsid w:val="0038387E"/>
    <w:rsid w:val="0038667C"/>
    <w:rsid w:val="00394771"/>
    <w:rsid w:val="003A06B8"/>
    <w:rsid w:val="003A4CF8"/>
    <w:rsid w:val="003B0394"/>
    <w:rsid w:val="003B1D90"/>
    <w:rsid w:val="003B7B14"/>
    <w:rsid w:val="003C2A87"/>
    <w:rsid w:val="003C7CA0"/>
    <w:rsid w:val="003E310F"/>
    <w:rsid w:val="003E6540"/>
    <w:rsid w:val="003E7858"/>
    <w:rsid w:val="0040423E"/>
    <w:rsid w:val="004067AB"/>
    <w:rsid w:val="004302D9"/>
    <w:rsid w:val="00432BB0"/>
    <w:rsid w:val="00450C39"/>
    <w:rsid w:val="004617C2"/>
    <w:rsid w:val="004960C4"/>
    <w:rsid w:val="004A03F0"/>
    <w:rsid w:val="004D20D7"/>
    <w:rsid w:val="004F6BB5"/>
    <w:rsid w:val="00514472"/>
    <w:rsid w:val="00521C43"/>
    <w:rsid w:val="00534F6C"/>
    <w:rsid w:val="005507AA"/>
    <w:rsid w:val="00587622"/>
    <w:rsid w:val="005B4164"/>
    <w:rsid w:val="005C4615"/>
    <w:rsid w:val="005D0D3B"/>
    <w:rsid w:val="005D5CF1"/>
    <w:rsid w:val="005E2DB1"/>
    <w:rsid w:val="005F6753"/>
    <w:rsid w:val="005F7502"/>
    <w:rsid w:val="00601D3F"/>
    <w:rsid w:val="006168C4"/>
    <w:rsid w:val="00623B8A"/>
    <w:rsid w:val="00632C3B"/>
    <w:rsid w:val="00634267"/>
    <w:rsid w:val="006344C4"/>
    <w:rsid w:val="00657835"/>
    <w:rsid w:val="00675D9D"/>
    <w:rsid w:val="00686152"/>
    <w:rsid w:val="006B03D8"/>
    <w:rsid w:val="006B5349"/>
    <w:rsid w:val="006D46D9"/>
    <w:rsid w:val="00752B14"/>
    <w:rsid w:val="00764667"/>
    <w:rsid w:val="00770F7F"/>
    <w:rsid w:val="0079161A"/>
    <w:rsid w:val="007A36E2"/>
    <w:rsid w:val="007D53E2"/>
    <w:rsid w:val="007D54A1"/>
    <w:rsid w:val="007F3C5A"/>
    <w:rsid w:val="00816E33"/>
    <w:rsid w:val="00826202"/>
    <w:rsid w:val="00830B62"/>
    <w:rsid w:val="0085494B"/>
    <w:rsid w:val="008A255A"/>
    <w:rsid w:val="008C251C"/>
    <w:rsid w:val="00916798"/>
    <w:rsid w:val="00931EBE"/>
    <w:rsid w:val="00935A09"/>
    <w:rsid w:val="00936AAC"/>
    <w:rsid w:val="00982945"/>
    <w:rsid w:val="009971BA"/>
    <w:rsid w:val="009A2471"/>
    <w:rsid w:val="009B2A95"/>
    <w:rsid w:val="009C2A1B"/>
    <w:rsid w:val="009C33CC"/>
    <w:rsid w:val="009E32C1"/>
    <w:rsid w:val="009E3F80"/>
    <w:rsid w:val="00A133F7"/>
    <w:rsid w:val="00A153BC"/>
    <w:rsid w:val="00A21E23"/>
    <w:rsid w:val="00A3596B"/>
    <w:rsid w:val="00A50E9E"/>
    <w:rsid w:val="00A6538B"/>
    <w:rsid w:val="00AA5443"/>
    <w:rsid w:val="00AB4DB3"/>
    <w:rsid w:val="00AE23EB"/>
    <w:rsid w:val="00AE7267"/>
    <w:rsid w:val="00AF17CB"/>
    <w:rsid w:val="00AF62D0"/>
    <w:rsid w:val="00B00F90"/>
    <w:rsid w:val="00B078BD"/>
    <w:rsid w:val="00B13818"/>
    <w:rsid w:val="00B23389"/>
    <w:rsid w:val="00B26C68"/>
    <w:rsid w:val="00B327D2"/>
    <w:rsid w:val="00B5150A"/>
    <w:rsid w:val="00B77B09"/>
    <w:rsid w:val="00B80B62"/>
    <w:rsid w:val="00B83C0A"/>
    <w:rsid w:val="00B91E20"/>
    <w:rsid w:val="00BC0E09"/>
    <w:rsid w:val="00BF06FA"/>
    <w:rsid w:val="00BF140E"/>
    <w:rsid w:val="00C006DD"/>
    <w:rsid w:val="00C03C10"/>
    <w:rsid w:val="00C36241"/>
    <w:rsid w:val="00C40F32"/>
    <w:rsid w:val="00C46812"/>
    <w:rsid w:val="00C57580"/>
    <w:rsid w:val="00C72855"/>
    <w:rsid w:val="00C73530"/>
    <w:rsid w:val="00CA739A"/>
    <w:rsid w:val="00CC0F4B"/>
    <w:rsid w:val="00CC2DB2"/>
    <w:rsid w:val="00CD6E82"/>
    <w:rsid w:val="00CF7C6E"/>
    <w:rsid w:val="00D15467"/>
    <w:rsid w:val="00D16B75"/>
    <w:rsid w:val="00D817D9"/>
    <w:rsid w:val="00D82E3A"/>
    <w:rsid w:val="00D9059F"/>
    <w:rsid w:val="00DB651A"/>
    <w:rsid w:val="00DE21B9"/>
    <w:rsid w:val="00DE3153"/>
    <w:rsid w:val="00DF3CFC"/>
    <w:rsid w:val="00E02FBF"/>
    <w:rsid w:val="00E05B85"/>
    <w:rsid w:val="00E67D8A"/>
    <w:rsid w:val="00E84BBC"/>
    <w:rsid w:val="00EA45DA"/>
    <w:rsid w:val="00EB2AA6"/>
    <w:rsid w:val="00EE5DFE"/>
    <w:rsid w:val="00F01C86"/>
    <w:rsid w:val="00F03A4B"/>
    <w:rsid w:val="00F11A8F"/>
    <w:rsid w:val="00F37DDB"/>
    <w:rsid w:val="00F42CC8"/>
    <w:rsid w:val="00F80792"/>
    <w:rsid w:val="00F81474"/>
    <w:rsid w:val="00F81FFA"/>
    <w:rsid w:val="00F91772"/>
    <w:rsid w:val="00F96526"/>
    <w:rsid w:val="00FA5FE7"/>
    <w:rsid w:val="00FB44EE"/>
    <w:rsid w:val="00FD27F7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B19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pt-BR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739A"/>
    <w:pPr>
      <w:spacing w:after="120" w:line="252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0C4"/>
    <w:pPr>
      <w:keepNext/>
      <w:keepLines/>
      <w:spacing w:before="320"/>
      <w:outlineLvl w:val="0"/>
    </w:pPr>
    <w:rPr>
      <w:rFonts w:eastAsia="Times New Roman"/>
      <w:color w:val="F5822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60C4"/>
    <w:pPr>
      <w:keepNext/>
      <w:keepLines/>
      <w:spacing w:before="240"/>
      <w:outlineLvl w:val="1"/>
    </w:pPr>
    <w:rPr>
      <w:rFonts w:eastAsia="Times New Roman"/>
      <w:color w:val="004A7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54A1"/>
    <w:pPr>
      <w:keepNext/>
      <w:keepLines/>
      <w:spacing w:before="240"/>
      <w:outlineLvl w:val="2"/>
    </w:pPr>
    <w:rPr>
      <w:rFonts w:eastAsia="Times New Roman"/>
      <w:b/>
      <w:color w:val="F582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4A1"/>
    <w:pPr>
      <w:keepNext/>
      <w:keepLines/>
      <w:spacing w:before="240"/>
      <w:outlineLvl w:val="3"/>
    </w:pPr>
    <w:rPr>
      <w:rFonts w:eastAsia="Times New Roman"/>
      <w:b/>
      <w:iCs/>
      <w:color w:val="1E1E1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60C4"/>
    <w:pPr>
      <w:keepNext/>
      <w:keepLines/>
      <w:spacing w:before="240"/>
      <w:outlineLvl w:val="4"/>
    </w:pPr>
    <w:rPr>
      <w:rFonts w:eastAsia="Times New Roman"/>
      <w:i/>
      <w:color w:val="1E1E1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B6"/>
  </w:style>
  <w:style w:type="paragraph" w:styleId="Footer">
    <w:name w:val="footer"/>
    <w:basedOn w:val="Normal"/>
    <w:link w:val="FooterChar"/>
    <w:uiPriority w:val="99"/>
    <w:unhideWhenUsed/>
    <w:rsid w:val="005B4164"/>
    <w:pPr>
      <w:tabs>
        <w:tab w:val="center" w:pos="4680"/>
        <w:tab w:val="right" w:pos="9360"/>
      </w:tabs>
      <w:spacing w:after="0" w:line="240" w:lineRule="auto"/>
    </w:pPr>
    <w:rPr>
      <w:color w:val="004A7C"/>
      <w:sz w:val="18"/>
    </w:rPr>
  </w:style>
  <w:style w:type="character" w:customStyle="1" w:styleId="FooterChar">
    <w:name w:val="Footer Char"/>
    <w:link w:val="Footer"/>
    <w:uiPriority w:val="99"/>
    <w:rsid w:val="005B4164"/>
    <w:rPr>
      <w:color w:val="004A7C"/>
      <w:sz w:val="18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3C2A87"/>
    <w:pPr>
      <w:spacing w:after="300"/>
    </w:pPr>
  </w:style>
  <w:style w:type="character" w:customStyle="1" w:styleId="DateChar">
    <w:name w:val="Date Char"/>
    <w:link w:val="Date"/>
    <w:uiPriority w:val="99"/>
    <w:rsid w:val="003C2A87"/>
    <w:rPr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4960C4"/>
    <w:rPr>
      <w:lang w:eastAsia="en-US"/>
    </w:rPr>
  </w:style>
  <w:style w:type="character" w:customStyle="1" w:styleId="PlaceholderText1">
    <w:name w:val="Placeholder Text1"/>
    <w:uiPriority w:val="99"/>
    <w:semiHidden/>
    <w:rsid w:val="003C2A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F0069"/>
    <w:pPr>
      <w:spacing w:before="480" w:after="240" w:line="240" w:lineRule="auto"/>
      <w:contextualSpacing/>
    </w:pPr>
    <w:rPr>
      <w:rFonts w:eastAsia="Times New Roman"/>
      <w:b/>
      <w:color w:val="004A7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FF0069"/>
    <w:rPr>
      <w:rFonts w:eastAsia="Times New Roman"/>
      <w:b/>
      <w:color w:val="004A7C"/>
      <w:spacing w:val="-10"/>
      <w:kern w:val="28"/>
      <w:sz w:val="40"/>
      <w:szCs w:val="56"/>
      <w:lang w:eastAsia="en-US"/>
    </w:rPr>
  </w:style>
  <w:style w:type="character" w:customStyle="1" w:styleId="Heading1Char">
    <w:name w:val="Heading 1 Char"/>
    <w:link w:val="Heading1"/>
    <w:uiPriority w:val="9"/>
    <w:rsid w:val="004960C4"/>
    <w:rPr>
      <w:rFonts w:ascii="Arial" w:eastAsia="Times New Roman" w:hAnsi="Arial" w:cs="Times New Roman"/>
      <w:color w:val="F58220"/>
      <w:sz w:val="30"/>
      <w:szCs w:val="32"/>
      <w:lang w:val="pt-BR"/>
    </w:rPr>
  </w:style>
  <w:style w:type="character" w:customStyle="1" w:styleId="Heading2Char">
    <w:name w:val="Heading 2 Char"/>
    <w:link w:val="Heading2"/>
    <w:uiPriority w:val="9"/>
    <w:rsid w:val="004960C4"/>
    <w:rPr>
      <w:rFonts w:ascii="Arial" w:eastAsia="Times New Roman" w:hAnsi="Arial" w:cs="Times New Roman"/>
      <w:color w:val="004A7C"/>
      <w:sz w:val="24"/>
      <w:szCs w:val="26"/>
      <w:lang w:val="pt-BR"/>
    </w:rPr>
  </w:style>
  <w:style w:type="character" w:customStyle="1" w:styleId="Heading3Char">
    <w:name w:val="Heading 3 Char"/>
    <w:link w:val="Heading3"/>
    <w:uiPriority w:val="9"/>
    <w:rsid w:val="007D54A1"/>
    <w:rPr>
      <w:rFonts w:ascii="Arial" w:eastAsia="Times New Roman" w:hAnsi="Arial" w:cs="Times New Roman"/>
      <w:b/>
      <w:color w:val="F58220"/>
      <w:sz w:val="20"/>
      <w:szCs w:val="24"/>
    </w:rPr>
  </w:style>
  <w:style w:type="character" w:customStyle="1" w:styleId="Heading4Char">
    <w:name w:val="Heading 4 Char"/>
    <w:link w:val="Heading4"/>
    <w:uiPriority w:val="9"/>
    <w:rsid w:val="007D54A1"/>
    <w:rPr>
      <w:rFonts w:ascii="Arial" w:eastAsia="Times New Roman" w:hAnsi="Arial" w:cs="Times New Roman"/>
      <w:b/>
      <w:iCs/>
      <w:color w:val="1E1E1E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960C4"/>
    <w:pPr>
      <w:numPr>
        <w:numId w:val="1"/>
      </w:numPr>
      <w:tabs>
        <w:tab w:val="clear" w:pos="360"/>
        <w:tab w:val="left" w:pos="454"/>
      </w:tabs>
      <w:spacing w:after="60"/>
      <w:ind w:left="454" w:hanging="284"/>
    </w:pPr>
  </w:style>
  <w:style w:type="paragraph" w:styleId="ListBullet2">
    <w:name w:val="List Bullet 2"/>
    <w:basedOn w:val="Normal"/>
    <w:uiPriority w:val="99"/>
    <w:unhideWhenUsed/>
    <w:qFormat/>
    <w:rsid w:val="004960C4"/>
    <w:pPr>
      <w:numPr>
        <w:numId w:val="2"/>
      </w:numPr>
      <w:spacing w:after="60"/>
      <w:ind w:left="964" w:hanging="284"/>
    </w:pPr>
  </w:style>
  <w:style w:type="paragraph" w:styleId="ListNumber">
    <w:name w:val="List Number"/>
    <w:basedOn w:val="Normal"/>
    <w:uiPriority w:val="99"/>
    <w:unhideWhenUsed/>
    <w:qFormat/>
    <w:rsid w:val="004960C4"/>
    <w:pPr>
      <w:numPr>
        <w:numId w:val="6"/>
      </w:numPr>
      <w:tabs>
        <w:tab w:val="clear" w:pos="360"/>
        <w:tab w:val="left" w:pos="454"/>
      </w:tabs>
      <w:spacing w:after="60"/>
      <w:ind w:left="454" w:hanging="454"/>
    </w:pPr>
  </w:style>
  <w:style w:type="paragraph" w:customStyle="1" w:styleId="ColorfulList-Accent11">
    <w:name w:val="Colorful List - Accent 11"/>
    <w:basedOn w:val="Normal"/>
    <w:uiPriority w:val="34"/>
    <w:qFormat/>
    <w:rsid w:val="004960C4"/>
    <w:pPr>
      <w:ind w:left="454"/>
      <w:contextualSpacing/>
    </w:pPr>
  </w:style>
  <w:style w:type="character" w:customStyle="1" w:styleId="Heading5Char">
    <w:name w:val="Heading 5 Char"/>
    <w:link w:val="Heading5"/>
    <w:uiPriority w:val="9"/>
    <w:rsid w:val="004960C4"/>
    <w:rPr>
      <w:rFonts w:ascii="Arial" w:eastAsia="Times New Roman" w:hAnsi="Arial" w:cs="Times New Roman"/>
      <w:i/>
      <w:color w:val="1E1E1E"/>
      <w:sz w:val="20"/>
      <w:szCs w:val="20"/>
      <w:lang w:val="pt-BR"/>
    </w:rPr>
  </w:style>
  <w:style w:type="paragraph" w:customStyle="1" w:styleId="Name">
    <w:name w:val="Name"/>
    <w:basedOn w:val="NoSpacing1"/>
    <w:link w:val="NameChar"/>
    <w:qFormat/>
    <w:rsid w:val="004960C4"/>
    <w:pPr>
      <w:spacing w:before="240"/>
    </w:pPr>
  </w:style>
  <w:style w:type="character" w:customStyle="1" w:styleId="NoSpacingChar">
    <w:name w:val="No Spacing Char"/>
    <w:link w:val="NoSpacing1"/>
    <w:uiPriority w:val="1"/>
    <w:rsid w:val="004960C4"/>
    <w:rPr>
      <w:lang w:val="pt-BR" w:eastAsia="en-US" w:bidi="ar-SA"/>
    </w:rPr>
  </w:style>
  <w:style w:type="character" w:customStyle="1" w:styleId="NameChar">
    <w:name w:val="Name Char"/>
    <w:link w:val="Name"/>
    <w:rsid w:val="004960C4"/>
    <w:rPr>
      <w:sz w:val="20"/>
      <w:szCs w:val="20"/>
      <w:lang w:val="pt-BR" w:eastAsia="en-US" w:bidi="ar-SA"/>
    </w:rPr>
  </w:style>
  <w:style w:type="character" w:styleId="Strong">
    <w:name w:val="Strong"/>
    <w:uiPriority w:val="22"/>
    <w:qFormat/>
    <w:rsid w:val="004960C4"/>
    <w:rPr>
      <w:b/>
      <w:bCs/>
      <w:lang w:val="pt-BR"/>
    </w:rPr>
  </w:style>
  <w:style w:type="paragraph" w:styleId="FootnoteText">
    <w:name w:val="footnote text"/>
    <w:basedOn w:val="Normal"/>
    <w:link w:val="FootnoteTextChar"/>
    <w:uiPriority w:val="99"/>
    <w:unhideWhenUsed/>
    <w:rsid w:val="00CA739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A739A"/>
    <w:rPr>
      <w:sz w:val="24"/>
      <w:szCs w:val="24"/>
      <w:lang w:val="pt-BR"/>
    </w:rPr>
  </w:style>
  <w:style w:type="character" w:styleId="FootnoteReference">
    <w:name w:val="footnote reference"/>
    <w:uiPriority w:val="99"/>
    <w:unhideWhenUsed/>
    <w:rsid w:val="00CA739A"/>
    <w:rPr>
      <w:vertAlign w:val="superscript"/>
    </w:rPr>
  </w:style>
  <w:style w:type="character" w:styleId="Hyperlink">
    <w:name w:val="Hyperlink"/>
    <w:uiPriority w:val="99"/>
    <w:unhideWhenUsed/>
    <w:rsid w:val="00CA739A"/>
    <w:rPr>
      <w:color w:val="1E1E1E"/>
      <w:u w:val="single"/>
    </w:rPr>
  </w:style>
  <w:style w:type="character" w:styleId="CommentReference">
    <w:name w:val="annotation reference"/>
    <w:uiPriority w:val="99"/>
    <w:semiHidden/>
    <w:unhideWhenUsed/>
    <w:rsid w:val="00CA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39A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CA739A"/>
    <w:rPr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9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739A"/>
    <w:rPr>
      <w:rFonts w:ascii="Times New Roman" w:hAnsi="Times New Roman" w:cs="Times New Roman"/>
      <w:sz w:val="18"/>
      <w:szCs w:val="18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A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1A8F"/>
    <w:rPr>
      <w:b/>
      <w:bCs/>
      <w:sz w:val="20"/>
      <w:szCs w:val="20"/>
      <w:lang w:val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363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53631"/>
    <w:rPr>
      <w:rFonts w:ascii="Times New Roman" w:hAnsi="Times New Roman"/>
      <w:sz w:val="24"/>
      <w:szCs w:val="24"/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3A06B8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30B6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pt-BR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739A"/>
    <w:pPr>
      <w:spacing w:after="120" w:line="252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0C4"/>
    <w:pPr>
      <w:keepNext/>
      <w:keepLines/>
      <w:spacing w:before="320"/>
      <w:outlineLvl w:val="0"/>
    </w:pPr>
    <w:rPr>
      <w:rFonts w:eastAsia="Times New Roman"/>
      <w:color w:val="F5822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60C4"/>
    <w:pPr>
      <w:keepNext/>
      <w:keepLines/>
      <w:spacing w:before="240"/>
      <w:outlineLvl w:val="1"/>
    </w:pPr>
    <w:rPr>
      <w:rFonts w:eastAsia="Times New Roman"/>
      <w:color w:val="004A7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54A1"/>
    <w:pPr>
      <w:keepNext/>
      <w:keepLines/>
      <w:spacing w:before="240"/>
      <w:outlineLvl w:val="2"/>
    </w:pPr>
    <w:rPr>
      <w:rFonts w:eastAsia="Times New Roman"/>
      <w:b/>
      <w:color w:val="F582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4A1"/>
    <w:pPr>
      <w:keepNext/>
      <w:keepLines/>
      <w:spacing w:before="240"/>
      <w:outlineLvl w:val="3"/>
    </w:pPr>
    <w:rPr>
      <w:rFonts w:eastAsia="Times New Roman"/>
      <w:b/>
      <w:iCs/>
      <w:color w:val="1E1E1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60C4"/>
    <w:pPr>
      <w:keepNext/>
      <w:keepLines/>
      <w:spacing w:before="240"/>
      <w:outlineLvl w:val="4"/>
    </w:pPr>
    <w:rPr>
      <w:rFonts w:eastAsia="Times New Roman"/>
      <w:i/>
      <w:color w:val="1E1E1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B6"/>
  </w:style>
  <w:style w:type="paragraph" w:styleId="Footer">
    <w:name w:val="footer"/>
    <w:basedOn w:val="Normal"/>
    <w:link w:val="FooterChar"/>
    <w:uiPriority w:val="99"/>
    <w:unhideWhenUsed/>
    <w:rsid w:val="005B4164"/>
    <w:pPr>
      <w:tabs>
        <w:tab w:val="center" w:pos="4680"/>
        <w:tab w:val="right" w:pos="9360"/>
      </w:tabs>
      <w:spacing w:after="0" w:line="240" w:lineRule="auto"/>
    </w:pPr>
    <w:rPr>
      <w:color w:val="004A7C"/>
      <w:sz w:val="18"/>
    </w:rPr>
  </w:style>
  <w:style w:type="character" w:customStyle="1" w:styleId="FooterChar">
    <w:name w:val="Footer Char"/>
    <w:link w:val="Footer"/>
    <w:uiPriority w:val="99"/>
    <w:rsid w:val="005B4164"/>
    <w:rPr>
      <w:color w:val="004A7C"/>
      <w:sz w:val="18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3C2A87"/>
    <w:pPr>
      <w:spacing w:after="300"/>
    </w:pPr>
  </w:style>
  <w:style w:type="character" w:customStyle="1" w:styleId="DateChar">
    <w:name w:val="Date Char"/>
    <w:link w:val="Date"/>
    <w:uiPriority w:val="99"/>
    <w:rsid w:val="003C2A87"/>
    <w:rPr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4960C4"/>
    <w:rPr>
      <w:lang w:eastAsia="en-US"/>
    </w:rPr>
  </w:style>
  <w:style w:type="character" w:customStyle="1" w:styleId="PlaceholderText1">
    <w:name w:val="Placeholder Text1"/>
    <w:uiPriority w:val="99"/>
    <w:semiHidden/>
    <w:rsid w:val="003C2A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F0069"/>
    <w:pPr>
      <w:spacing w:before="480" w:after="240" w:line="240" w:lineRule="auto"/>
      <w:contextualSpacing/>
    </w:pPr>
    <w:rPr>
      <w:rFonts w:eastAsia="Times New Roman"/>
      <w:b/>
      <w:color w:val="004A7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FF0069"/>
    <w:rPr>
      <w:rFonts w:eastAsia="Times New Roman"/>
      <w:b/>
      <w:color w:val="004A7C"/>
      <w:spacing w:val="-10"/>
      <w:kern w:val="28"/>
      <w:sz w:val="40"/>
      <w:szCs w:val="56"/>
      <w:lang w:eastAsia="en-US"/>
    </w:rPr>
  </w:style>
  <w:style w:type="character" w:customStyle="1" w:styleId="Heading1Char">
    <w:name w:val="Heading 1 Char"/>
    <w:link w:val="Heading1"/>
    <w:uiPriority w:val="9"/>
    <w:rsid w:val="004960C4"/>
    <w:rPr>
      <w:rFonts w:ascii="Arial" w:eastAsia="Times New Roman" w:hAnsi="Arial" w:cs="Times New Roman"/>
      <w:color w:val="F58220"/>
      <w:sz w:val="30"/>
      <w:szCs w:val="32"/>
      <w:lang w:val="pt-BR"/>
    </w:rPr>
  </w:style>
  <w:style w:type="character" w:customStyle="1" w:styleId="Heading2Char">
    <w:name w:val="Heading 2 Char"/>
    <w:link w:val="Heading2"/>
    <w:uiPriority w:val="9"/>
    <w:rsid w:val="004960C4"/>
    <w:rPr>
      <w:rFonts w:ascii="Arial" w:eastAsia="Times New Roman" w:hAnsi="Arial" w:cs="Times New Roman"/>
      <w:color w:val="004A7C"/>
      <w:sz w:val="24"/>
      <w:szCs w:val="26"/>
      <w:lang w:val="pt-BR"/>
    </w:rPr>
  </w:style>
  <w:style w:type="character" w:customStyle="1" w:styleId="Heading3Char">
    <w:name w:val="Heading 3 Char"/>
    <w:link w:val="Heading3"/>
    <w:uiPriority w:val="9"/>
    <w:rsid w:val="007D54A1"/>
    <w:rPr>
      <w:rFonts w:ascii="Arial" w:eastAsia="Times New Roman" w:hAnsi="Arial" w:cs="Times New Roman"/>
      <w:b/>
      <w:color w:val="F58220"/>
      <w:sz w:val="20"/>
      <w:szCs w:val="24"/>
    </w:rPr>
  </w:style>
  <w:style w:type="character" w:customStyle="1" w:styleId="Heading4Char">
    <w:name w:val="Heading 4 Char"/>
    <w:link w:val="Heading4"/>
    <w:uiPriority w:val="9"/>
    <w:rsid w:val="007D54A1"/>
    <w:rPr>
      <w:rFonts w:ascii="Arial" w:eastAsia="Times New Roman" w:hAnsi="Arial" w:cs="Times New Roman"/>
      <w:b/>
      <w:iCs/>
      <w:color w:val="1E1E1E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960C4"/>
    <w:pPr>
      <w:numPr>
        <w:numId w:val="1"/>
      </w:numPr>
      <w:tabs>
        <w:tab w:val="clear" w:pos="360"/>
        <w:tab w:val="left" w:pos="454"/>
      </w:tabs>
      <w:spacing w:after="60"/>
      <w:ind w:left="454" w:hanging="284"/>
    </w:pPr>
  </w:style>
  <w:style w:type="paragraph" w:styleId="ListBullet2">
    <w:name w:val="List Bullet 2"/>
    <w:basedOn w:val="Normal"/>
    <w:uiPriority w:val="99"/>
    <w:unhideWhenUsed/>
    <w:qFormat/>
    <w:rsid w:val="004960C4"/>
    <w:pPr>
      <w:numPr>
        <w:numId w:val="2"/>
      </w:numPr>
      <w:spacing w:after="60"/>
      <w:ind w:left="964" w:hanging="284"/>
    </w:pPr>
  </w:style>
  <w:style w:type="paragraph" w:styleId="ListNumber">
    <w:name w:val="List Number"/>
    <w:basedOn w:val="Normal"/>
    <w:uiPriority w:val="99"/>
    <w:unhideWhenUsed/>
    <w:qFormat/>
    <w:rsid w:val="004960C4"/>
    <w:pPr>
      <w:numPr>
        <w:numId w:val="6"/>
      </w:numPr>
      <w:tabs>
        <w:tab w:val="clear" w:pos="360"/>
        <w:tab w:val="left" w:pos="454"/>
      </w:tabs>
      <w:spacing w:after="60"/>
      <w:ind w:left="454" w:hanging="454"/>
    </w:pPr>
  </w:style>
  <w:style w:type="paragraph" w:customStyle="1" w:styleId="ColorfulList-Accent11">
    <w:name w:val="Colorful List - Accent 11"/>
    <w:basedOn w:val="Normal"/>
    <w:uiPriority w:val="34"/>
    <w:qFormat/>
    <w:rsid w:val="004960C4"/>
    <w:pPr>
      <w:ind w:left="454"/>
      <w:contextualSpacing/>
    </w:pPr>
  </w:style>
  <w:style w:type="character" w:customStyle="1" w:styleId="Heading5Char">
    <w:name w:val="Heading 5 Char"/>
    <w:link w:val="Heading5"/>
    <w:uiPriority w:val="9"/>
    <w:rsid w:val="004960C4"/>
    <w:rPr>
      <w:rFonts w:ascii="Arial" w:eastAsia="Times New Roman" w:hAnsi="Arial" w:cs="Times New Roman"/>
      <w:i/>
      <w:color w:val="1E1E1E"/>
      <w:sz w:val="20"/>
      <w:szCs w:val="20"/>
      <w:lang w:val="pt-BR"/>
    </w:rPr>
  </w:style>
  <w:style w:type="paragraph" w:customStyle="1" w:styleId="Name">
    <w:name w:val="Name"/>
    <w:basedOn w:val="NoSpacing1"/>
    <w:link w:val="NameChar"/>
    <w:qFormat/>
    <w:rsid w:val="004960C4"/>
    <w:pPr>
      <w:spacing w:before="240"/>
    </w:pPr>
  </w:style>
  <w:style w:type="character" w:customStyle="1" w:styleId="NoSpacingChar">
    <w:name w:val="No Spacing Char"/>
    <w:link w:val="NoSpacing1"/>
    <w:uiPriority w:val="1"/>
    <w:rsid w:val="004960C4"/>
    <w:rPr>
      <w:lang w:val="pt-BR" w:eastAsia="en-US" w:bidi="ar-SA"/>
    </w:rPr>
  </w:style>
  <w:style w:type="character" w:customStyle="1" w:styleId="NameChar">
    <w:name w:val="Name Char"/>
    <w:link w:val="Name"/>
    <w:rsid w:val="004960C4"/>
    <w:rPr>
      <w:sz w:val="20"/>
      <w:szCs w:val="20"/>
      <w:lang w:val="pt-BR" w:eastAsia="en-US" w:bidi="ar-SA"/>
    </w:rPr>
  </w:style>
  <w:style w:type="character" w:styleId="Strong">
    <w:name w:val="Strong"/>
    <w:uiPriority w:val="22"/>
    <w:qFormat/>
    <w:rsid w:val="004960C4"/>
    <w:rPr>
      <w:b/>
      <w:bCs/>
      <w:lang w:val="pt-BR"/>
    </w:rPr>
  </w:style>
  <w:style w:type="paragraph" w:styleId="FootnoteText">
    <w:name w:val="footnote text"/>
    <w:basedOn w:val="Normal"/>
    <w:link w:val="FootnoteTextChar"/>
    <w:uiPriority w:val="99"/>
    <w:unhideWhenUsed/>
    <w:rsid w:val="00CA739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A739A"/>
    <w:rPr>
      <w:sz w:val="24"/>
      <w:szCs w:val="24"/>
      <w:lang w:val="pt-BR"/>
    </w:rPr>
  </w:style>
  <w:style w:type="character" w:styleId="FootnoteReference">
    <w:name w:val="footnote reference"/>
    <w:uiPriority w:val="99"/>
    <w:unhideWhenUsed/>
    <w:rsid w:val="00CA739A"/>
    <w:rPr>
      <w:vertAlign w:val="superscript"/>
    </w:rPr>
  </w:style>
  <w:style w:type="character" w:styleId="Hyperlink">
    <w:name w:val="Hyperlink"/>
    <w:uiPriority w:val="99"/>
    <w:unhideWhenUsed/>
    <w:rsid w:val="00CA739A"/>
    <w:rPr>
      <w:color w:val="1E1E1E"/>
      <w:u w:val="single"/>
    </w:rPr>
  </w:style>
  <w:style w:type="character" w:styleId="CommentReference">
    <w:name w:val="annotation reference"/>
    <w:uiPriority w:val="99"/>
    <w:semiHidden/>
    <w:unhideWhenUsed/>
    <w:rsid w:val="00CA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39A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CA739A"/>
    <w:rPr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39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739A"/>
    <w:rPr>
      <w:rFonts w:ascii="Times New Roman" w:hAnsi="Times New Roman" w:cs="Times New Roman"/>
      <w:sz w:val="18"/>
      <w:szCs w:val="18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A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1A8F"/>
    <w:rPr>
      <w:b/>
      <w:bCs/>
      <w:sz w:val="20"/>
      <w:szCs w:val="20"/>
      <w:lang w:val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363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53631"/>
    <w:rPr>
      <w:rFonts w:ascii="Times New Roman" w:hAnsi="Times New Roman"/>
      <w:sz w:val="24"/>
      <w:szCs w:val="24"/>
      <w:lang w:val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3A06B8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30B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witter.com/uicc" TargetMode="External"/><Relationship Id="rId10" Type="http://schemas.openxmlformats.org/officeDocument/2006/relationships/hyperlink" Target="mailto:advocacy@uicc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ho.int/iris/bitstream/10665/94384/1/9789241506236_eng.pdf?ua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C088-3D42-7A44-A433-60548AE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1126</Words>
  <Characters>6423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Links>
    <vt:vector size="6" baseType="variant"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https://twitter.com/uicc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Andrew Revkin</dc:creator>
  <cp:lastModifiedBy>Nathalie Hasler</cp:lastModifiedBy>
  <cp:revision>5</cp:revision>
  <cp:lastPrinted>2017-05-01T08:00:00Z</cp:lastPrinted>
  <dcterms:created xsi:type="dcterms:W3CDTF">2017-05-23T09:49:00Z</dcterms:created>
  <dcterms:modified xsi:type="dcterms:W3CDTF">2017-05-25T08:13:00Z</dcterms:modified>
</cp:coreProperties>
</file>